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10.png" ContentType="image/png"/>
  <Override PartName="/word/media/rId108.png" ContentType="image/png"/>
  <Override PartName="/word/media/rId105.png" ContentType="image/png"/>
  <Override PartName="/word/media/rId109.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02</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efforts in the Columbia River basin. Reservoirs and tailraces associated with dams on the Snake and Columbia river have created favorable conditions for fishes known to consume juvenile salmonids. The native Northern Pikeminnow are one of these fishes and have been estimated to consume ~8% of the approximately 200 million juvenile salmonids emigrating through the lower Snake and Columbia rivers, annually. Less is known about the interaction between upstream, river-dwelling Northern Pikeminnow and their impacts on salmonid recovery above these reservoir systems. In this study, we examine the abundance of Northern Pikeminnow in a slow-water reach of the Salmon River, Idaho, known as Deadwater Slough, and consider potential impacts of them on local Chinook Salmon populations. The reach was (at least partially) formed by the failure of a small mining dam in a nearby drainage during the late 19th century and contains historically important overwinter rearing habitat and is a migration corridor for Chinook Salmon as well as other Endangered Species Act-listed species including steelhead and Sockeye Salmon. We estimated the abundance of Northern Pikeminnow in Deadwater Slough to be 27,874 in the fall and 19,499 in the spring during the peak emigrations of juvenile Chinook Salmon. Assuming a scenario where 60% of the Northern Pikeminnow diet is fish, of which 50% is Chinook Salmon, we estimated the Northern Pikeminnow population to consume 95,120 juvenile Chinook Salmon, annually. In the most conservative scenario where 30% of diet is fish and 30% of fish are juvenile Chinook Salmon, 47,079 juveniles are consumed. Using a sensitivity analysis, we further considered potential impacts to adult returns to local populations. Given the size of the Salmon River, the estimated Northern Pikeminnow densities for Deadwater Slough are remarkable and predation from the population likely has consequential impacts on Chinook Salmon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p>
      <w:pPr>
        <w:pStyle w:val="BodyText"/>
      </w:pPr>
      <w:r>
        <w:t xml:space="preserve">All data and code for the analyses presented here can be found in a GitHub repository at</w:t>
      </w:r>
      <w:r>
        <w:t xml:space="preserve"> </w:t>
      </w:r>
      <w:r>
        <w:rPr>
          <w:iCs/>
          <w:i/>
          <w:bCs/>
          <w:b/>
        </w:rPr>
        <w:t xml:space="preserve">zenodo DOI</w:t>
      </w:r>
      <w:r>
        <w:t xml:space="preserve"> </w:t>
      </w:r>
      <w:r>
        <w:t xml:space="preserve">here.</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w:t>
      </w:r>
      <w:r>
        <w:t xml:space="preserve"> </w:t>
      </w:r>
      <w:r>
        <w:t xml:space="preserve">“</w:t>
      </w:r>
      <w:r>
        <w:t xml:space="preserve">hook shy,</w:t>
      </w:r>
      <w:r>
        <w:t xml:space="preserve">”</w:t>
      </w:r>
      <w:r>
        <w:t xml:space="preserve"> </w:t>
      </w:r>
      <w:r>
        <w:t xml:space="preserve">the mean fall abundance estimate was 19,499 (95% CI: 9,952 - 41,597).</w:t>
      </w:r>
    </w:p>
    <w:p>
      <w:pPr>
        <w:pStyle w:val="BodyText"/>
      </w:pPr>
      <w:r>
        <w:t xml:space="preserve">For spring 2021, we estimated abundance by multiplying the mean fall abundance (standard Schnabel estimates) by the ratio between the spring CPUE and mean fall CPUEs (0.53), resulting in an estimate of 14,799 (95% CI: 7,562 - 31,530) Northern Pikeminnow in Deadwater Slough. Those estimates translate to linear densities of 10,422 and 7,909 Northern Pikeminnow per rkm.</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 an average-size Northern Pikeminnow (394.1 TL mm) to consume 47.11 g of fish to maintain their body size, assuming 60% of their diet consists of fish prey (Figure</w:t>
      </w:r>
      <w:r>
        <w:t xml:space="preserve"> </w:t>
      </w:r>
      <w:r>
        <w:t xml:space="preserve">4</w:t>
      </w:r>
      <w:r>
        <w:t xml:space="preserve">). Fall consumption ranged from 38.9 g for a diet of 30% fish to 50.73 g for a diet of 90% fish. During the spring NRR emigration, we estimated an average-size Northern Pikeminnow (352.9 TL mm) to consume 46.22 g of fish, assuming 60% of their diet is fish prey (Figure</w:t>
      </w:r>
      <w:r>
        <w:t xml:space="preserve"> </w:t>
      </w:r>
      <w:r>
        <w:t xml:space="preserve">4</w:t>
      </w:r>
      <w:r>
        <w:t xml:space="preserve">). Spring consumption ranged from 38.05 for a diet of 30% fish to 49.74 for a diet of 90% fish. Given estimated mean Northern Pikeminnow population sizes of 27,874 from fall estimates and 14,799 for spring 2021, and assuming 60% of their diet is fish, we estimate that Northern Pikeminnow population can consume 1.3 metric tons of fish during the fall DSR emigration and an additional 0.7 metric tons during the NRR emigration in Deadwater Slough.</w:t>
      </w:r>
    </w:p>
    <w:bookmarkEnd w:id="31"/>
    <w:bookmarkStart w:id="32" w:name="impacts-to-chinook-salmon-populations-1"/>
    <w:p>
      <w:pPr>
        <w:pStyle w:val="Heading2"/>
      </w:pPr>
      <w:r>
        <w:t xml:space="preserve">Impacts to Chinook Salmon Populations</w:t>
      </w:r>
    </w:p>
    <w:p>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w:t>
      </w:r>
      <w:r>
        <w:t xml:space="preserve"> </w:t>
      </w:r>
      <w:r>
        <w:t xml:space="preserve">??</w:t>
      </w:r>
      <w:r>
        <w:t xml:space="preserve">). Assuming that 50% of the total fish consumed are juvenile Chinook salmon, we estimate that 95,121 (95% CI: 48,606 - 202,661) juvenile Chinook Salmon will be consumed. We then used our estimate of total juvenile Chinook Salmon consumed to estimate an</w:t>
      </w:r>
      <w:r>
        <w:t xml:space="preserve"> </w:t>
      </w:r>
      <w:r>
        <w:t xml:space="preserve">“</w:t>
      </w:r>
      <w:r>
        <w:t xml:space="preserve">adult equivalents</w:t>
      </w:r>
      <w:r>
        <w:t xml:space="preserve">”</w:t>
      </w:r>
      <w:r>
        <w:t xml:space="preserve"> </w:t>
      </w:r>
      <w:r>
        <w:t xml:space="preserve">using the median Granite-to-Granite SAR of 0.00614 (sd = 0.00051) from</w:t>
      </w:r>
      <w:r>
        <w:t xml:space="preserve"> </w:t>
      </w:r>
      <w:r>
        <w:t xml:space="preserve">McCann et al. (2019)</w:t>
      </w:r>
      <w:r>
        <w:t xml:space="preserve">. Assuming predation was non-existent in Deadwater Slough, the juvenile consumption would be equivalent to 584 (95% CI: 250 - 1,447) adults.</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was estimated to be 27,874 during the fall DSR emigration and 14,799 during the spring NRR emigration. Those estimates translate to linear densities (fish/rkm) that are 21 and 11 times greater than densities reported by</w:t>
      </w:r>
      <w:r>
        <w:t xml:space="preserve"> </w:t>
      </w:r>
      <w:r>
        <w:t xml:space="preserve">Beamesderfer and Rieman (1991)</w:t>
      </w:r>
      <w:r>
        <w:t xml:space="preserve"> </w:t>
      </w:r>
      <w:r>
        <w:t xml:space="preserve">for the John Day Reservoir and approximately 5 and 3 times greater than projections for the lower Columbia River</w:t>
      </w:r>
      <w:r>
        <w:t xml:space="preserve"> </w:t>
      </w:r>
      <w:r>
        <w:t xml:space="preserve">(Beamesderfer et al. 1996)</w:t>
      </w:r>
      <w:r>
        <w:t xml:space="preserve">. Our areal densities (fish/100</w:t>
      </w:r>
      <w:r>
        <w:t xml:space="preserve"> </w:t>
      </w:r>
      <m:oMath>
        <m:sSup>
          <m:e>
            <m:r>
              <m:t>m</m:t>
            </m:r>
          </m:e>
          <m:sup>
            <m:r>
              <m:t>2</m:t>
            </m:r>
          </m:sup>
        </m:sSup>
      </m:oMath>
      <w:r>
        <w:t xml:space="preserve">) for Deadwater Slough are 23.3 and 12.4 for fall and spring, respectively.</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We also caught one individual that was confirmed tagged in Deadwater Slough in a previous year suggesting that at least some individuals remain in the reach or at least migrate to Deadwater Slough multiple times, annually. The assumption of a closed population can also affect results if mortality occurs for some marked fish released back to the population. During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days within a survey indicating that marked fish were still susceptible to angling. We are also comfortable with the assumptions of no loss of marks or no mistaken or missed marks given that marks were physical (hole punches in fins) and that each fish was examined on a measuring board to collect lengths. 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As an example,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(50%)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 639 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as well as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 95,121 juvenile Chinook Salmon may be consumed by Northern Pikeminnow assuming that 60% of their diet is fish and 50% of that is Chinook Salmon. Considering that diet scenarios used in our study are likely conservative assumptions, especially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 584 (95% CI: 250 - 1447) adults, annually. This is 105% of the total mean adult escapement estimated</w:t>
      </w:r>
      <w:r>
        <w:t xml:space="preserve"> </w:t>
      </w:r>
      <w:r>
        <w:t xml:space="preserve">for the Upper Salmon MPG in 2017 - 2019</w:t>
      </w:r>
      <w:r>
        <w:t xml:space="preserve"> </w:t>
      </w:r>
      <w:r>
        <w:t xml:space="preserve">(Kinzer et al. 2020)</w:t>
      </w:r>
      <w:r>
        <w:t xml:space="preserve">. Even under the most conservative scenario where 30% of the Northern Pikeminnow diet is fish and 30% of that is Chinook Salmon we estimate the</w:t>
      </w:r>
      <w:r>
        <w:t xml:space="preserve"> </w:t>
      </w:r>
      <w:r>
        <w:t xml:space="preserve">“</w:t>
      </w:r>
      <w:r>
        <w:t xml:space="preserve">adult equivalents</w:t>
      </w:r>
      <w:r>
        <w:t xml:space="preserve">”</w:t>
      </w:r>
      <w:r>
        <w:t xml:space="preserve"> </w:t>
      </w:r>
      <w:r>
        <w:t xml:space="preserve">of the juveniles consumed to be 289 (95% CI: 124 - 716) which is 52% of recent natural-origin adult escapements. In addition to juvenile Chinook Salmon, juvenile steelhead and Sockeye Salmon, including hatchery releases, are also likely prey items for Northern Pikeminnow in Deadwater Slough. Accordingly, we surmise that adult returns of steelhead and Sockeye Salmon are also affected by predation, including hatchery populations, which provide recreational fishing opportunities. Consequently, reducing predation mortality at Deadwater Slough could potentially benefit multiple upriver natural and hatchery populations, including other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Even under the most conservative scenarios, we estimate more than 10,000 Northern Pikeminnow occupy Deadwater Slough, resulting in a remarkable density given the size of the area. Additionally, the slow water velocity and lack of cover have created conditions that favor predation on juvenile salmonids that are rearing in or emigrating through Deadwater Slough, including Chinook Salmon. We estimate that, at a minimum, Northern Pikeminnow in Deadwater Slough consume greater than 24,000 juvenile Chinook salmon (the lower 95% CI of the most conservative scenario evaluated). It is more likely that this value is closer to 100,000, annually, creating a consequential impact on ESA-listed Chinook Salmon populations in the Upper Salmon MPG.</w:t>
      </w:r>
    </w:p>
    <w:p>
      <w:r>
        <w:br w:type="page"/>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38.90</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42.62</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45.23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47.11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48.63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49.81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50.73</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38.05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41.70</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44.29</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46.22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47.65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48.82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49.74</w:t>
            </w:r>
          </w:p>
        </w:tc>
      </w:tr>
    </w:tbl>
    <w:p>
      <w:r>
        <w:br w:type="page"/>
      </w:r>
    </w:p>
    <w:p>
      <w:pPr>
        <w:pStyle w:val="TableCaption"/>
      </w:pPr>
      <w:r>
        <w:t xml:space="preserve">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Survey</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Survey</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CI</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bookmarkEnd w:id="103"/>
    <w:bookmarkStart w:id="112"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in Deadwater Slough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in Deadwater Slough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est" title="" id="1" name="Picture"/>
            <a:graphic>
              <a:graphicData uri="http://schemas.openxmlformats.org/drawingml/2006/picture">
                <pic:pic>
                  <pic:nvPicPr>
                    <pic:cNvPr descr="../figures/juv-con-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test</w:t>
      </w:r>
    </w:p>
    <w:p>
      <w:r>
        <w:br w:type="page"/>
      </w:r>
    </w:p>
    <w:p>
      <w:pPr>
        <w:pStyle w:val="CaptionedFigure"/>
      </w:pPr>
      <w:r>
        <w:drawing>
          <wp:inline>
            <wp:extent cx="5504749" cy="3669832"/>
            <wp:effectExtent b="0" l="0" r="0" t="0"/>
            <wp:docPr descr="Figure 6: temp" title="" id="1" name="Picture"/>
            <a:graphic>
              <a:graphicData uri="http://schemas.openxmlformats.org/drawingml/2006/picture">
                <pic:pic>
                  <pic:nvPicPr>
                    <pic:cNvPr descr="../figures/adult-imp-p-1.png" id="0" name="Picture"/>
                    <pic:cNvPicPr>
                      <a:picLocks noChangeArrowheads="1" noChangeAspect="1"/>
                    </pic:cNvPicPr>
                  </pic:nvPicPr>
                  <pic:blipFill>
                    <a:blip r:embed="rId11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temp</w:t>
      </w:r>
    </w:p>
    <w:p>
      <w:r>
        <w:br w:type="page"/>
      </w:r>
    </w:p>
    <w:bookmarkStart w:id="111" w:name="colophon"/>
    <w:p>
      <w:pPr>
        <w:pStyle w:val="Heading3"/>
      </w:pPr>
      <w:r>
        <w:t xml:space="preserve">Colophon</w:t>
      </w:r>
    </w:p>
    <w:p>
      <w:pPr>
        <w:pStyle w:val="FirstParagraph"/>
      </w:pPr>
      <w:r>
        <w:t xml:space="preserve">This report was generated on 2022-02-02 07:15:17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[17088d0] 2022-02-02: added statement for GitHub repo</w:t>
      </w:r>
    </w:p>
    <w:bookmarkEnd w:id="111"/>
    <w:bookmarkEnd w:id="11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2022-02-02T14:15:20Z</dcterms:created>
  <dcterms:modified xsi:type="dcterms:W3CDTF">2022-02-02T14:15:20Z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02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